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D778C3">
        <w:rPr>
          <w:rFonts w:asciiTheme="minorHAnsi" w:hAnsiTheme="minorHAnsi" w:cs="Arial"/>
          <w:b/>
        </w:rPr>
        <w:t>17 May</w:t>
      </w:r>
      <w:r w:rsidR="00C45EB6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D778C3">
        <w:rPr>
          <w:rFonts w:asciiTheme="minorHAnsi" w:hAnsiTheme="minorHAnsi"/>
          <w:b/>
        </w:rPr>
        <w:t>May</w:t>
      </w:r>
      <w:r w:rsidR="00C45EB6">
        <w:rPr>
          <w:rFonts w:asciiTheme="minorHAnsi" w:hAnsiTheme="minorHAnsi"/>
          <w:b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F2579"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D778C3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 R </w:t>
                  </w:r>
                  <w:r w:rsidR="00D778C3">
                    <w:rPr>
                      <w:rFonts w:asciiTheme="minorHAnsi" w:hAnsiTheme="minorHAnsi" w:cs="Arial"/>
                    </w:rPr>
                    <w:t>107,688,184.00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D778C3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D778C3">
                    <w:rPr>
                      <w:rFonts w:asciiTheme="minorHAnsi" w:hAnsiTheme="minorHAnsi" w:cs="Arial"/>
                    </w:rPr>
                    <w:t>557,334,695.00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>T</w:t>
      </w:r>
      <w:bookmarkStart w:id="1" w:name="_GoBack"/>
      <w:bookmarkEnd w:id="1"/>
      <w:r w:rsidR="00F01565">
        <w:rPr>
          <w:rFonts w:asciiTheme="minorHAnsi" w:hAnsiTheme="minorHAnsi" w:cs="Arial"/>
          <w:lang w:val="en-ZA"/>
        </w:rPr>
        <w:t xml:space="preserve">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31CF74D8-F221-4109-B7CD-2B1138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46726B-4A1F-41B6-AD2A-EC74BDACD6D8}"/>
</file>

<file path=customXml/itemProps2.xml><?xml version="1.0" encoding="utf-8"?>
<ds:datastoreItem xmlns:ds="http://schemas.openxmlformats.org/officeDocument/2006/customXml" ds:itemID="{E0F8FAC5-778D-4975-990E-F8328E4A9F58}"/>
</file>

<file path=customXml/itemProps3.xml><?xml version="1.0" encoding="utf-8"?>
<ds:datastoreItem xmlns:ds="http://schemas.openxmlformats.org/officeDocument/2006/customXml" ds:itemID="{6203F8D1-10C7-41B1-A62F-159F94B51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25</cp:revision>
  <cp:lastPrinted>2012-01-03T09:35:00Z</cp:lastPrinted>
  <dcterms:created xsi:type="dcterms:W3CDTF">2014-04-14T09:23:00Z</dcterms:created>
  <dcterms:modified xsi:type="dcterms:W3CDTF">2019-05-17T13:33:00Z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